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word/media/image2.gif" ContentType="image/gif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/>
        <w:drawing>
          <wp:inline distT="0" distB="0" distL="0" distR="0">
            <wp:extent cx="5057775" cy="1362075"/>
            <wp:effectExtent l="0" t="0" r="0" b="0"/>
            <wp:docPr id="1" name="Рисунок 1" descr="Z:\123\cf4f57c41838a5112b9408ab44f3f72c60737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Z:\123\cf4f57c41838a5112b9408ab44f3f72c60737bb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Сведений/Документов для оформления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Областного материнского (семейного) капитала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4"/>
          <w:szCs w:val="24"/>
        </w:rPr>
        <w:t>Контактный номер отдела субсидий: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8 (35144) 4- 53 -00 (добавочный номер 4)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!ПРИ СЕБЕ ИМЕТЬ КОПИИ И ОРИГИНАЛЫ ВСЕХ ДОКУМЕНТОВ!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Законом Челябинской области № 251-ЗО от 15.12.2011г. установлено право на областной материнский (семейный) капитал семьям, среднедушевой доход которых не превышает двукратную величину прожиточного минимума на душу населения в Челябинской области (в 2024 году составляет 31128 рублей), при рождении третьего или последующих детей, начиная с 1 января 2012 года.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Размер областного материнского (семейного) капитала  в 2024 году составляет  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</w:rPr>
        <w:t>128 235 рублей.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Основной пакет документов, независимо от направления по распоряжению ОМ(С)К:</w:t>
      </w:r>
    </w:p>
    <w:p>
      <w:pPr>
        <w:pStyle w:val="Normal"/>
        <w:spacing w:lineRule="auto" w:line="360" w:before="0" w:after="0"/>
        <w:ind w:left="-28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1.Копия свидетельства о рождении на каждого ребенка, а также документ, подтверждающий принадлежность  к гражданству РФ ребенка;</w:t>
      </w:r>
    </w:p>
    <w:p>
      <w:pPr>
        <w:pStyle w:val="Normal"/>
        <w:spacing w:lineRule="auto" w:line="360" w:before="0" w:after="0"/>
        <w:ind w:left="-28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2.Ксерокопии паспортов родителей (титульный лист и лист  прописки);</w:t>
      </w:r>
    </w:p>
    <w:p>
      <w:pPr>
        <w:pStyle w:val="Normal"/>
        <w:spacing w:lineRule="auto" w:line="360" w:before="0" w:after="0"/>
        <w:ind w:left="-284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3. Документы, подтверждающие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доход каждого члена семьи за  12 календарных месяцев, отсчет которых начинается за 1  месяц до даты подачи заявления о назначении выплаты.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То есть, при подаче заявления в январе 2024 года, доход семьи учитывается за период с 01.12.2022 г.  по 30.11.2023 г.:</w:t>
      </w:r>
    </w:p>
    <w:p>
      <w:pPr>
        <w:pStyle w:val="Normal"/>
        <w:spacing w:lineRule="auto" w:line="360" w:before="0" w:after="0"/>
        <w:ind w:left="-284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сведения о заработной плате (при отсутствии дохода, копия трудовой книжки титульный лист и сведения об увольнении+ ИНН). При отсутствии трудовой книжки,  объяснительная.</w:t>
      </w:r>
    </w:p>
    <w:p>
      <w:pPr>
        <w:pStyle w:val="Normal"/>
        <w:spacing w:lineRule="auto" w:line="360" w:before="0" w:after="0"/>
        <w:ind w:left="-284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справка о денежном довольствии военнослужащих и сотрудников органов внутренних дел</w:t>
      </w:r>
    </w:p>
    <w:p>
      <w:pPr>
        <w:pStyle w:val="Normal"/>
        <w:spacing w:lineRule="auto" w:line="360" w:before="0" w:after="0"/>
        <w:ind w:left="-284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справка о размере получаемой пенсии (копии страховых свидетельств обязательного пенсионного страхования)</w:t>
      </w:r>
    </w:p>
    <w:p>
      <w:pPr>
        <w:pStyle w:val="Normal"/>
        <w:spacing w:lineRule="auto" w:line="360" w:before="0" w:after="0"/>
        <w:ind w:left="-284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справка о размере получаемой стипендии</w:t>
      </w:r>
    </w:p>
    <w:p>
      <w:pPr>
        <w:pStyle w:val="Normal"/>
        <w:spacing w:lineRule="auto" w:line="360" w:before="0" w:after="0"/>
        <w:ind w:left="-284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справка о размере получаемых пособий</w:t>
      </w:r>
    </w:p>
    <w:p>
      <w:pPr>
        <w:pStyle w:val="Normal"/>
        <w:spacing w:lineRule="auto" w:line="360" w:before="0" w:after="0"/>
        <w:ind w:left="-284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справка о доходах от занятий предпринимательской деятельностью (ИНН, ОГРН)</w:t>
      </w:r>
    </w:p>
    <w:p>
      <w:pPr>
        <w:pStyle w:val="Normal"/>
        <w:spacing w:lineRule="auto" w:line="360" w:before="0" w:after="0"/>
        <w:ind w:left="-284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справка о размере алиментов, получаемых на содержание детей</w:t>
      </w:r>
    </w:p>
    <w:p>
      <w:pPr>
        <w:pStyle w:val="Normal"/>
        <w:spacing w:lineRule="auto" w:line="360" w:before="0" w:after="0"/>
        <w:ind w:left="-284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4.  Свидетельство по месту регистрации детей (Ф №8);</w:t>
      </w:r>
    </w:p>
    <w:p>
      <w:pPr>
        <w:pStyle w:val="Normal"/>
        <w:spacing w:lineRule="auto" w:line="360" w:before="0" w:after="0"/>
        <w:ind w:left="-284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5.Сведения о реквизитах счета (лицевого счета, наименование организации, БИК, ИНН, КПП) или номер счета заявителя;</w:t>
      </w:r>
    </w:p>
    <w:p>
      <w:pPr>
        <w:pStyle w:val="Normal"/>
        <w:spacing w:lineRule="auto" w:line="360" w:before="0" w:after="0"/>
        <w:ind w:left="-284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6. СНИЛС всех членов семьи</w:t>
      </w:r>
    </w:p>
    <w:p>
      <w:pPr>
        <w:pStyle w:val="Normal"/>
        <w:spacing w:lineRule="auto" w:line="360" w:before="0" w:after="0"/>
        <w:ind w:left="-284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7. Документы (сведения),  подтверждающие родственные отношения членов семьи заявителя (свидетельства о рождении, смерти, заключении (расторжении) брака, перемене имени)</w:t>
      </w:r>
    </w:p>
    <w:p>
      <w:pPr>
        <w:pStyle w:val="Normal"/>
        <w:spacing w:lineRule="auto" w:line="360" w:before="0" w:after="0"/>
        <w:ind w:left="-284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ind w:left="-284" w:hanging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 зависимости от выбранного направления распоряжения средствами (частью средств) ОМСК предоставляются дополнительные документы!</w:t>
      </w:r>
    </w:p>
    <w:p>
      <w:pPr>
        <w:pStyle w:val="Normal"/>
        <w:spacing w:lineRule="auto" w:line="240" w:before="0" w:after="0"/>
        <w:ind w:left="-284" w:hanging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Заявитель имеет право обратиться с заявлением после достижения третьим или последующим ребенком возраста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3-х лет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, если: </w:t>
      </w:r>
    </w:p>
    <w:p>
      <w:pPr>
        <w:pStyle w:val="Normal"/>
        <w:spacing w:lineRule="auto" w:line="240" w:before="0" w:after="0"/>
        <w:ind w:left="-284" w:hanging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Средства ОМК направляются  на получение образования ребенком (детьми), проживание в общежитии;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Средства ОМК направляются на оплату медицинских услуг, оказываемых родителю (родителям) и (или) ребенку (детям);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Средства ОМК направляются на </w:t>
      </w:r>
      <w:r>
        <w:rPr>
          <w:rFonts w:eastAsia="Times New Roman" w:cs="Times New Roman" w:ascii="Times New Roman" w:hAnsi="Times New Roman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sz w:val="20"/>
          <w:szCs w:val="20"/>
        </w:rPr>
        <w:t>риобретение садовых или огородных земельных участков, а также садовых домов по достижения третьим или последующим ребенком возраста 3 лет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погашение основного долга и уплату процентов по кредитам или займам на строительство жилого помещения</w:t>
      </w:r>
    </w:p>
    <w:p>
      <w:pPr>
        <w:pStyle w:val="ListParagraph"/>
        <w:spacing w:lineRule="auto" w:line="360" w:before="0" w:after="0"/>
        <w:ind w:left="784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</w:t>
      </w:r>
    </w:p>
    <w:p>
      <w:pPr>
        <w:pStyle w:val="Normal"/>
        <w:spacing w:lineRule="auto" w:line="240" w:before="0" w:after="0"/>
        <w:ind w:left="-284" w:firstLine="708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0"/>
          <w:szCs w:val="20"/>
        </w:rPr>
        <w:t>1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 Особенности распоряжения средствами на получение образования ребенком (детьми), проживание в общежитии.</w:t>
      </w:r>
    </w:p>
    <w:p>
      <w:pPr>
        <w:pStyle w:val="Normal"/>
        <w:spacing w:lineRule="auto" w:line="360" w:before="0" w:after="0"/>
        <w:ind w:left="-284" w:firstLine="708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left="-284" w:firstLine="708"/>
        <w:contextualSpacing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(По исполнении третьего и последующего ребенка возраста 3 лет).</w:t>
      </w:r>
    </w:p>
    <w:p>
      <w:pPr>
        <w:pStyle w:val="Normal"/>
        <w:spacing w:lineRule="auto" w:line="360" w:before="0" w:after="0"/>
        <w:ind w:left="-284" w:firstLine="708"/>
        <w:contextualSpacing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Дополнительно предоставляются:</w:t>
      </w:r>
    </w:p>
    <w:p>
      <w:pPr>
        <w:pStyle w:val="Normal"/>
        <w:spacing w:lineRule="auto" w:line="360" w:before="0" w:after="0"/>
        <w:ind w:left="-284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об образовании, заключенный с заявителем;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Копия лицензии на право осуществления образовательной деятельности, выданной образовательному учреждению;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Копия свидетельства о государственной аккредитации  образовательной организации (если дополнительное образование – аккредитации не нужно);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 образовательной организации, подтверждающий оплату платных образовательных услуг, а также оплату проживания в общежитии, либо документы, подтверждающие произведенную заявителем оплату предоставленных услуг ( контрольно – кассовый чек, квитанция или иной бланк строгой отчетности (документ установленного образца) – в случае возмещения средств заявителю;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-На оплату проживания в общежитии: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найма жилого помещения в общежитии (с указанием суммы и сроков внесения платы);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справка из образовательного учреждения, подтверждающая факт проживания ребенка в общежитии;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2. Особенности распоряжения средствами на оплату медицинских услуг, оказываемых родителю (родителям) и (или) ребенку (детям).</w:t>
      </w:r>
    </w:p>
    <w:p>
      <w:pPr>
        <w:pStyle w:val="Normal"/>
        <w:spacing w:lineRule="auto" w:line="360" w:before="0" w:after="0"/>
        <w:ind w:firstLine="708"/>
        <w:contextualSpacing/>
        <w:jc w:val="center"/>
        <w:rPr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8"/>
        <w:contextualSpacing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sz w:val="24"/>
          <w:szCs w:val="24"/>
        </w:rPr>
        <w:t>По исполнении третьего и последующего ребенка возраста 3 лет).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Дополнительно предоставляются: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на оказание платных медицинских услуг, заключенный с заявителем;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Копия лицензии на осуществление медицинской деятельности, выданная мед. организацией;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Справка ( мед. заключение), выданная мед. организацией, подтверждающая необходимость получения мед. помощи родителем и (или) ребенком;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Смета на предоставление платных мед. услуг, предусмотренных договором;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Документы, подтверждающие произведенную заявителем оплату предоставленных мед. Услуг (контрольно-кассовый чек, квитанция или иной бланк строгой отчетности (документ установленного образца) и предоставление платной мед. помощи -  в случае возмещения заявителю.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-На оплату проезда к месту получения мед. помощи, прилагаются проездные билеты на имя получателя (получателей)  мед.услуги и (или) сопровождающего лица, заключение врачебной комиссии мед организации о необходимости сопровождающего лица во время проезда получателя мед услуги к месту получения мед услуги и обратно, а также документ, подтверждающие предоставление мед услуг – при направлении средств ОМК на оплату проезда к месту получения мед помощи детьми и родителями 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Документы, подтверждающие оплату проживания родителя в месте проведения курса реабилитационного лечения, документы подтверждающие предоставление мед. услуг – при направлении средств ОМК на оплату проживания родителя, сопровождающего несовершеннолетних детей на курс реабилитационного лечения.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 Особенности распоряжения средствами на приобретение садовых или огородных земельных участков, а также садовых домов по достижения третьим или последующим ребенком возраста 3 лет.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(По исполнении третьего и последующего ребенка возраста 3 лет). 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Садовый или огородный земельный участок, садовый дом должны находиться на территории Челябинской области.</w:t>
      </w:r>
    </w:p>
    <w:p>
      <w:pPr>
        <w:pStyle w:val="Normal"/>
        <w:spacing w:lineRule="auto" w:line="360" w:before="0" w:after="0"/>
        <w:contextualSpacing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Дополнительно предоставляются: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купли-продажи садовых или огородных земельных участков, а также садовых домов, прошедших государственную регистрацию в установленном порядке или имеющий специальную регистрационную надпись на имя заявителя (мамы);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В случае направления средств (части средств) областного капитала организации, в том числе кредитной, предоставившей по кредитному договору  (договору займа) денежные средства на указанные цели:   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кредитный договор (договор займа) на приобретение садовых или огородных земельных участков, а так же садовых домов;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об ипотеке, прошедший государственную регистрацию в установленном порядке, - в случае, если кредитным договором (договором займа) предусмотрено его заключение;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справку кредитора (заимодавца) о размерах остатка основного долга и остатка задолженности по выплате процентов за пользованием кредитом (займом).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 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Заявитель имеет право обратиться с заявлением после достижения третьим или последующим ребенком возраста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6 месяцев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, если: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Средства ОМК направляются на погашение имеющейся ипотеки на приобретение готового или строящегося жилья; Средства ОМК направляются на погашение основного долга и уплату процентов по кредитам или займам на строительство жилого помещения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Средства ОМК направляются на приобретение товаров для детей-инвалидов;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color w:val="1C1C1C"/>
        </w:rPr>
      </w:pPr>
      <w:r>
        <w:rPr>
          <w:rFonts w:eastAsia="Times New Roman" w:cs="Times New Roman" w:ascii="Times New Roman" w:hAnsi="Times New Roman"/>
          <w:color w:val="1C1C1C"/>
          <w:sz w:val="20"/>
          <w:szCs w:val="20"/>
        </w:rPr>
        <w:t>Средства ОМК направляются на строительство, реконструкцию объекта индивидуального жилищного строительства, осуществляемые гражданами без привлечения организации, осуществляющей строительство (реконструкцию) объекта индивидуального жилищного строительства;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Средства ОМК направляются на  подключение  жилых помещений к газовым сетям, к централизованной системе водоснабжения и (или) водоотведения, устройство бытовых колодцев и скважин для целей водоснабжения на земельном участке, на котором расположен объект индивидуального жилищного строительства.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Средства ОМК направляются на 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Средства ОМК направляются на возмещение части затрат по оплате стоимости путевок в организации отдыха детей и их оздоровления (но не более 10 % от стоимости приобретенной путевки).</w:t>
      </w:r>
    </w:p>
    <w:p>
      <w:pPr>
        <w:pStyle w:val="ListParagraph"/>
        <w:spacing w:lineRule="auto" w:line="360" w:before="0" w:after="0"/>
        <w:ind w:left="1788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4. Особенности погашение основного долга и уплата процентов по кредитам или займа на приобретение жилого помещения, предоставленным гражданам по кредитному договору или договору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займа, в том числе обязательств по которому обеспечены ипотекой, заключенному с организацией, в том числе кредитной организацией.</w:t>
      </w:r>
    </w:p>
    <w:p>
      <w:pPr>
        <w:pStyle w:val="Normal"/>
        <w:spacing w:lineRule="auto" w:line="240" w:before="0" w:after="0"/>
        <w:ind w:firstLine="708"/>
        <w:contextualSpacing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(По исполнении третьего и последующего ребенка возраста 6 месяцев).</w:t>
      </w:r>
    </w:p>
    <w:p>
      <w:pPr>
        <w:pStyle w:val="Normal"/>
        <w:spacing w:lineRule="auto" w:line="360" w:before="0" w:after="0"/>
        <w:ind w:firstLine="708"/>
        <w:contextualSpacing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Дополнительно к основным документам предоставляется: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-Копия кредитного договора (договора займа) Если было рефинансирование - копия первичного договора;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- Справка кредитора (заимодавца) о размерах остатка основного долга и остатка задолженности по выплате процентов за пользование кредитом (займом) с указанием реквизитов счета для перечисления средств ОМК (форма справки как для Пенсионного фонда);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- Копия договора об ипотеке, прошедшего государственную регистрацию в установленном порядке или и копия договора долевого строительства - в случае если кредитным договором (договором займа) предусмотрено его заключение;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- Выписка из Единого государственного реестра недвижимости, содержащая информацию о правах на жилое помещение, приобретенное с использованием кредитных (заемных) средств (или иной документ о собственности на заявителя или супруга). Если приобретено строящееся жилье – документ, что дом не сдан;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- Основной документ, удостоверяющий личность супруга заявителя и его регистрацию по месту жительства либо по месту пребывания, - в случае если стороной обязательства по приобретению жилья является супруг заявителя;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Свидетельство о браке – в случае, если стороной обязательства по приобретению жилья является супруг заявителя;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Документ, подтверждающий получение денежных средств по договору займа, путем их безналичного перечисления на счет, открытый заявителем или его супругом в кредитной организации  (копия платежного поручения или справка, если был оформлен займ);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Возмещение денежных средств, осуществляется Министерством на банковский счет лица, обратившегося с заявлением о распоряжении средствами.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5. Особенности приобретения товаров и услуг, предназначенных для социальной адаптации и интеграции в общество детей-инвалидов.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Дополнительно предоставляются: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Индивидуальная программа реабилитации  или абилитациии ребенка - инвалида, действительная на день приобретения товаров и услуг, предназначенных для социальной адаптации и интеграции в общество детей-инвалидов;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Документы, подтверждающие расходы на приобретение товаров и услуг, предназначенных для социальной адаптации  и интеграции в общество детей-инвалидов (товарный или кассовый чек, договор купли-продажи с товарным или кассовым чеком либо с приходным ордером и товарной накладной, договор возмездного оказания услуг с товарным или кассовым чеком либо с приходным ордером и товарной накладной, иные документы, подтверждающие оплату товаров и услуг, с указанием стоимости приобретенных товаров;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6. Направление средств на строительство, реконструкцию объекта индивидуального жилищного строительства, осуществляемые гражданами без привлечения организации, осуществляющей строительство (реконструкцию) объекта жилищного строительства.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contextualSpacing/>
        <w:jc w:val="left"/>
        <w:rPr/>
      </w:pPr>
      <w:r>
        <w:rPr>
          <w:rFonts w:eastAsia="Times New Roman" w:cs="Times New Roman" w:ascii="Times New Roman" w:hAnsi="Times New Roman"/>
          <w:b/>
        </w:rPr>
        <w:t>Дополнительно предоставляются: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</w:rPr>
        <w:t>Если строительство дома: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_ документ о собственности на землю на заявителя и (или) супруга;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Копия разрешения на строительство на заявителя или его супруга, либо копия уведомления о планируемом строительстве (реконструкции) объекта индивидуального жилищного строительства;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Если на участке есть старый дом – документ о собственности на него;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Свидетельство о заключении брака и копия паспорта супруга (если документы оформлены на него;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</w:rPr>
        <w:t>Если реконструкция дома: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 о собственности на землю на заявителя и (или) супруга;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 Копия разрешения на реконструкцию на заявителя или его супруга, либо копия уведомления о планируемой реконструкции объекта индивидуального жилищного строительства;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 о собственности на дом, который реконструируется;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7. Направление средств на подключение (технологическое присоединение) объекта индивидуального жилищного строительства к сети газораспределения,  к централизованной системе водоснабжения и (или) водоотведения, устройство бытовых колодцев и скважин для целей водоснабжения  объекта индивидуального жилищного строительства.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Дополнительно предоставляются: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</w:rPr>
        <w:t xml:space="preserve">При подключении к сети газораспределения: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подряда на производство работ по газификации объекта индивидуального жилищного строительства с приложением расчета стоимости  работ, заключенный с заявителем;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документ, подтверждающий оплату приобретенного газового оборудования и приборов учета (котла двухконтурного (отопление и горячая вода) или котла отопительного и водонагревателя с блоком управления, газовой плиты, газовой варочной поверхности, газового духового шкафа, газового счетчика, клапана электромагнитного с датчиком загазованности) – в случае возмещения заявителю;</w:t>
      </w:r>
    </w:p>
    <w:p>
      <w:pPr>
        <w:pStyle w:val="ListParagraph"/>
        <w:spacing w:lineRule="auto" w:line="360" w:before="0" w:after="0"/>
        <w:ind w:left="0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акт приемки законченного строительством объекта газораспределительной системы;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rPr>
          <w:rFonts w:ascii="Times New Roman" w:hAnsi="Times New Roman" w:eastAsia="Times New Roman" w:cs="Times New Roman"/>
          <w:b/>
          <w:b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</w:rPr>
        <w:t>При подключении к централизованным системам водоснабжения и водоотведения: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о подключении  к централизованной системе холодного водоснабжения и (или) водоотведения с организацией, осуществляющей холодное водоснабжение и (или) водоотведение, заключенный с заявителем;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подряда на производство работ, связанных с подключением объекта индивидуального жилищного строительства к централизованной системе холодного водоснабжения и (или) водоотведения с приложением расчета стоимости работ, заключенный с заявителем;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документ, подтверждающий оплату приобретенных приборов учета и оборудования, необходимых для обустройства системы водоснабжения и (или) водоотведения) объекта индивидуального жилищного строительства (различных по диаметру труб, шлангов, счетчиков, водонагревателей, запорно-регулирующей арматуры, смесителей, сантехнического оборудования) – при возмещении заявителю;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Документ, подтверждающий оплату выполненных работ с приложением акта выполненных работ – при возмещении заявителю;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rPr>
          <w:rFonts w:ascii="Times New Roman" w:hAnsi="Times New Roman" w:eastAsia="Times New Roman" w:cs="Times New Roman"/>
          <w:b/>
          <w:b/>
          <w:sz w:val="20"/>
          <w:szCs w:val="20"/>
          <w:u w:val="singl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</w:rPr>
        <w:t>При  устройстве бытовых колодцев и скважин для целей водоснабжения объекта индивидуального жилищного ст</w:t>
      </w:r>
      <w:hyperlink r:id="rId3">
        <w:r>
          <w:rPr>
            <w:rFonts w:eastAsia="Times New Roman" w:cs="Times New Roman" w:ascii="Times New Roman" w:hAnsi="Times New Roman"/>
            <w:b/>
            <w:sz w:val="20"/>
            <w:szCs w:val="20"/>
            <w:u w:val="single"/>
          </w:rPr>
          <w:t>роительства:</w:t>
        </w:r>
      </w:hyperlink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договор подряда на выполнение работ, связанных с устройством бытовых колодцев и скважин для целей водоснабжения на земельном участке, на котором распложен объект индивидуального жилищного строительства с приложением расчета стоимости работ, заключенный с заявителем;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документ, подтверждающий оплату приобретенного оборудования, необходимого для устройства бытовых колодцев и скважин для целей водоснабжения (водяного насоса, гидроаккумулятора, водонагревателя, оголовка скважинного, кессона, системы автоматики, очистных фильтров) – при возмещении заявителю;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- Документ, подтверждающий оплату выполненных работ с приложением акта выполненных работ – при возмещении заявителю;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istParagraph"/>
        <w:tabs>
          <w:tab w:val="clear" w:pos="708"/>
          <w:tab w:val="left" w:pos="9214" w:leader="none"/>
        </w:tabs>
        <w:spacing w:lineRule="auto" w:line="240"/>
        <w:ind w:left="0" w:hanging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8. Особенности распоряжения средствами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ОМСК н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строительства.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/>
      </w:r>
    </w:p>
    <w:p>
      <w:pPr>
        <w:pStyle w:val="ListParagraph"/>
        <w:tabs>
          <w:tab w:val="clear" w:pos="708"/>
          <w:tab w:val="left" w:pos="9214" w:leader="none"/>
        </w:tabs>
        <w:spacing w:lineRule="auto" w:line="240"/>
        <w:ind w:lef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Объект индивидуального жилищного строительства должен находиться на территории Челябинской области. 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240"/>
        <w:ind w:left="0" w:hanging="0"/>
        <w:jc w:val="center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/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/>
        <w:ind w:lef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Лицо, обратившееся с заявлением о распоряжении средствами, должно постоянно или преимущественно проживать в указанном объекте индивидуального жилищного строительства.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/>
        <w:ind w:lef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Необходимость проведения ремонта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 xml:space="preserve">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 устанавливается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Актом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 xml:space="preserve"> органа социальной защиты населения (с участием сотрудников МЧС).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/>
        <w:ind w:lef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При направлении средств (части средств) областного материнского (семейного) капитала на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>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: 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/>
        <w:ind w:left="0" w:hanging="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Дополнительно предоставляется: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/>
        <w:ind w:lef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- договор подряда на производство работ по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>ремонту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 приложением расчета стоимости работ;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/>
        <w:ind w:lef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- документ, подтверждающий оплату приобретенного оборудования и материалов, необходимых для ремонта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>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/>
        <w:ind w:left="57" w:hanging="0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Допускается возмещение расходов, понесенных заявителем, в случае фактической оплаты заявителем выполненных работ по ремонту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>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строительства.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В этом случае для возмещения расходов заявителю дополнительно представляется документ, подтверждающий оплату выполненных работ по ремонту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>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 приложением акта выполненных работ.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/>
        <w:ind w:left="57" w:hanging="0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Возмещение расходов, понесенных заявителем, осуществляется Министерством на банковский счет лица, обратившегося с заявлением о распоряжении средствами.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 w:cs="Times New Roman"/>
          <w:b/>
          <w:b/>
          <w:szCs w:val="24"/>
        </w:rPr>
      </w:pPr>
      <w:r>
        <w:rPr/>
      </w:r>
    </w:p>
    <w:p>
      <w:pPr>
        <w:pStyle w:val="ListParagraph"/>
        <w:tabs>
          <w:tab w:val="clear" w:pos="708"/>
          <w:tab w:val="left" w:pos="9214" w:leader="none"/>
        </w:tabs>
        <w:spacing w:lineRule="auto" w:line="240" w:before="0" w:after="0"/>
        <w:ind w:left="0" w:hanging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Cs w:val="24"/>
        </w:rPr>
        <w:t>9. Особенности распоряжения средствами областного материнского (семейного) капитала на</w:t>
      </w:r>
      <w:r>
        <w:rPr>
          <w:rFonts w:eastAsia="Times New Roman" w:cs="Times New Roman" w:ascii="Times New Roman" w:hAnsi="Times New Roman"/>
          <w:b/>
          <w:bCs/>
          <w:szCs w:val="24"/>
        </w:rPr>
        <w:t xml:space="preserve"> возмещение  части затрат по оплате стоимости путевок в организации отдыха детей и их оздоровления (но не более 10 % от стоимости приобретенной путевки)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jc w:val="center"/>
        <w:rPr>
          <w:rFonts w:ascii="Times New Roman" w:hAnsi="Times New Roman" w:eastAsia="Times New Roman" w:cs="Times New Roman"/>
          <w:sz w:val="18"/>
          <w:szCs w:val="20"/>
        </w:rPr>
      </w:pPr>
      <w:r>
        <w:rPr/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Средства ОМК могут быть направлены на возмещение части затрат по оплате стоимости путевок в организации отдыха детей и их оздоровления, приобретенных как для родного ребенка, так и для усыновленного, в том числе первого, второго, третьего ребенка и (или) последующих детей,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не достигших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на дату подачи заявления о распоряжении средствами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18-летнего возраста.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Дополнительно предоставляются: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-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копия договора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 юридическим лицом или индивидуальным предпринимателем, осуществляющим реализацию путевок для детей в организации отдыха детей и их оздоровления, стороной которого является заявитель или супруг заявителя, с копиями всех приложений и изменений к нему (далее именуются — договор о реализации путевки) — в случае, если оплата полной стоимости путевки для ребенка произведена непосредственно туристическому агентству;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- 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копии документов, подтверждающих факт оплаты полной стоимости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самостоятельно приобретенной заявителем или супругом заявителя путевки, а именно: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1.  при осуществлении наличных денежных расчетов — копия квитанции к приходному кассовому ордеру, либо копия кассового чека , отпечатанного контрольно-кассовой техникой;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2.   при осуществлении кассовой операции через кредитную организацию Российской Федерации, платежный терминал, банкомат — копия квитанции, либо копия платежного поручения, либо копия чека, либо копия чек-ордера, либо копия иного документа, выданного кредитной организацией Российской Федерации, платежным терминалом, банкоматом;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3.    копия иного документа, приравненного к кассовому чеку, соответствующего требованиям Федерального закона от 22.05.2003 года № 54-ФЗ «О применении контрольно-кассовой техники при осуществлении расчетов в Российской Федерации».</w:t>
      </w:r>
    </w:p>
    <w:p>
      <w:pPr>
        <w:pStyle w:val="ListParagraph"/>
        <w:tabs>
          <w:tab w:val="clear" w:pos="708"/>
          <w:tab w:val="left" w:pos="9214" w:leader="none"/>
        </w:tabs>
        <w:spacing w:lineRule="auto" w:line="36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- 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Копия отрывного (обратного) талона к путевке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. </w:t>
      </w:r>
    </w:p>
    <w:p>
      <w:pPr>
        <w:pStyle w:val="Normal"/>
        <w:tabs>
          <w:tab w:val="clear" w:pos="708"/>
          <w:tab w:val="left" w:pos="9214" w:leader="none"/>
        </w:tabs>
        <w:spacing w:lineRule="auto" w:line="360" w:before="0" w:after="0"/>
        <w:ind w:firstLine="708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Внимание! При наличии у детей входящих в состав многодетной семьи, права на получение данной дополнительной меры социальной поддержки по иным основаниям, указанная мера предоставляется по выбору заявителя по одному из оснований!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contextualSpacing/>
        <w:rPr/>
      </w:pPr>
      <w:r>
        <w:rPr>
          <w:rFonts w:eastAsia="Times New Roman" w:cs="Times New Roman" w:ascii="Times New Roman" w:hAnsi="Times New Roman"/>
          <w:b/>
        </w:rPr>
        <w:t>!!! Копии документов из медицинских и учебных учреждений должны быть заверены  этими учреждениями !!!</w:t>
      </w:r>
    </w:p>
    <w:p>
      <w:pPr>
        <w:pStyle w:val="Style18"/>
        <w:tabs>
          <w:tab w:val="clear" w:pos="708"/>
          <w:tab w:val="left" w:pos="735" w:leader="none"/>
          <w:tab w:val="left" w:pos="9214" w:leader="none"/>
        </w:tabs>
        <w:spacing w:lineRule="auto" w:line="240" w:before="0" w:after="283"/>
        <w:jc w:val="both"/>
        <w:rPr>
          <w:rFonts w:ascii="PT Astra Serif" w:hAnsi="PT Astra Serif" w:eastAsia="Times New Roman" w:cs="PT Astra Serif"/>
          <w:b/>
          <w:b/>
          <w:bCs/>
          <w:sz w:val="8"/>
          <w:szCs w:val="26"/>
        </w:rPr>
      </w:pPr>
      <w:r>
        <w:rPr>
          <w:rFonts w:eastAsia="Times New Roman" w:cs="PT Astra Serif" w:ascii="PT Astra Serif" w:hAnsi="PT Astra Serif"/>
          <w:b/>
          <w:bCs/>
          <w:sz w:val="8"/>
          <w:szCs w:val="26"/>
        </w:rPr>
      </w:r>
    </w:p>
    <w:p>
      <w:pPr>
        <w:pStyle w:val="Style18"/>
        <w:tabs>
          <w:tab w:val="clear" w:pos="708"/>
          <w:tab w:val="left" w:pos="735" w:leader="none"/>
          <w:tab w:val="left" w:pos="9214" w:leader="none"/>
        </w:tabs>
        <w:spacing w:lineRule="auto" w:line="240" w:before="0" w:after="283"/>
        <w:jc w:val="both"/>
        <w:rPr>
          <w:rFonts w:ascii="PT Astra Serif" w:hAnsi="PT Astra Serif" w:eastAsia="Times New Roman" w:cs="PT Astra Serif"/>
          <w:b/>
          <w:b/>
          <w:bCs/>
          <w:sz w:val="26"/>
          <w:szCs w:val="26"/>
        </w:rPr>
      </w:pPr>
      <w:r>
        <w:rPr>
          <w:rFonts w:eastAsia="Times New Roman" w:cs="PT Astra Serif" w:ascii="PT Astra Serif" w:hAnsi="PT Astra Serif"/>
          <w:b/>
          <w:bCs/>
          <w:sz w:val="26"/>
          <w:szCs w:val="26"/>
        </w:rPr>
        <w:t xml:space="preserve">Не выходя из дома, Вы можете подать заявление </w:t>
      </w:r>
      <w:r>
        <w:rPr>
          <w:rFonts w:eastAsia="Times New Roman" w:cs="PT Astra Serif" w:ascii="PT Astra Serif" w:hAnsi="PT Astra Serif"/>
          <w:b/>
          <w:bCs/>
          <w:sz w:val="26"/>
          <w:szCs w:val="26"/>
        </w:rPr>
        <w:t xml:space="preserve">на </w:t>
      </w:r>
      <w:r>
        <w:rPr>
          <w:rFonts w:eastAsia="Times New Roman" w:cs="PT Astra Serif" w:ascii="PT Astra Serif" w:hAnsi="PT Astra Serif"/>
          <w:b/>
          <w:bCs/>
          <w:sz w:val="26"/>
          <w:szCs w:val="26"/>
        </w:rPr>
        <w:t xml:space="preserve">распоряжение средствами ОМСК </w:t>
      </w:r>
      <w:r>
        <w:rPr>
          <w:rFonts w:eastAsia="Times New Roman" w:cs="PT Astra Serif" w:ascii="PT Astra Serif" w:hAnsi="PT Astra Serif"/>
          <w:b/>
          <w:bCs/>
          <w:sz w:val="26"/>
          <w:szCs w:val="26"/>
        </w:rPr>
        <w:t xml:space="preserve">в электронном виде на портале «ГОСУСЛУГИ»! </w:t>
      </w:r>
      <w:r>
        <w:rPr>
          <w:rFonts w:eastAsia="Times New Roman" w:cs="PT Astra Serif" w:ascii="PT Astra Serif" w:hAnsi="PT Astra Serif"/>
          <w:b/>
          <w:bCs/>
          <w:sz w:val="26"/>
          <w:szCs w:val="26"/>
        </w:rPr>
        <w:t>Пошаговая инструкция на сайте УСЗН: sosnovka.eps74.ru, в разделе «СУБСИДИИ».</w:t>
      </w:r>
    </w:p>
    <w:p>
      <w:pPr>
        <w:pStyle w:val="Style18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Для подачи заявления наведите камеру телефона на </w:t>
      </w:r>
      <w:r>
        <w:rPr>
          <w:b/>
          <w:sz w:val="28"/>
          <w:szCs w:val="28"/>
          <w:u w:val="single"/>
          <w:lang w:val="en-US"/>
        </w:rPr>
        <w:t>QR</w:t>
      </w:r>
      <w:r>
        <w:rPr>
          <w:b/>
          <w:sz w:val="28"/>
          <w:szCs w:val="28"/>
          <w:u w:val="single"/>
        </w:rPr>
        <w:t>-код:</w:t>
      </w:r>
    </w:p>
    <w:p>
      <w:pPr>
        <w:pStyle w:val="Normal"/>
        <w:tabs>
          <w:tab w:val="clear" w:pos="708"/>
          <w:tab w:val="left" w:pos="9214" w:leader="none"/>
        </w:tabs>
        <w:spacing w:lineRule="auto" w:line="360"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2298700</wp:posOffset>
            </wp:positionH>
            <wp:positionV relativeFrom="paragraph">
              <wp:posOffset>-116205</wp:posOffset>
            </wp:positionV>
            <wp:extent cx="1343025" cy="134302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b/>
          <w:bCs/>
          <w:kern w:val="0"/>
          <w:sz w:val="26"/>
          <w:szCs w:val="26"/>
          <w:lang w:val="ru-RU" w:eastAsia="en-US" w:bidi="ar-SA"/>
        </w:rPr>
        <w:t xml:space="preserve">Услугу на ЕПГУ можно найти через функцию поиск (робот Макс) ключевые слова «получение регионального капитала», либо пройдя по ссылке </w:t>
      </w:r>
      <w:hyperlink r:id="rId5">
        <w:r>
          <w:rPr>
            <w:rFonts w:eastAsia="Calibri" w:cs="Times New Roman" w:ascii="Times New Roman" w:hAnsi="Times New Roman"/>
            <w:b/>
            <w:bCs/>
            <w:kern w:val="0"/>
            <w:sz w:val="26"/>
            <w:szCs w:val="26"/>
          </w:rPr>
          <w:t>https://www.gosuslugi.ru/626123/1/form</w:t>
        </w:r>
      </w:hyperlink>
    </w:p>
    <w:sectPr>
      <w:type w:val="nextPage"/>
      <w:pgSz w:w="11906" w:h="16838"/>
      <w:pgMar w:left="1701" w:right="850" w:header="0" w:top="585" w:footer="0" w:bottom="48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45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7b2109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semiHidden/>
    <w:unhideWhenUsed/>
    <w:rsid w:val="00ba0ffd"/>
    <w:rPr>
      <w:color w:val="000080"/>
      <w:u w:val="single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b9432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7b21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a0ffd"/>
    <w:pPr>
      <w:suppressAutoHyphens w:val="false"/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gosuslugi.ru/626123/1/form" TargetMode="External"/><Relationship Id="rId4" Type="http://schemas.openxmlformats.org/officeDocument/2006/relationships/image" Target="media/image2.gif"/><Relationship Id="rId5" Type="http://schemas.openxmlformats.org/officeDocument/2006/relationships/hyperlink" Target="https://www.gosuslugi.ru/626123/1/for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Application>LibreOffice/7.0.6.2$Linux_X86_64 LibreOffice_project/00$Build-2</Application>
  <AppVersion>15.0000</AppVersion>
  <Pages>7</Pages>
  <Words>2425</Words>
  <Characters>17667</Characters>
  <CharactersWithSpaces>20041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2015-01-28T08:04:00Z</dcterms:created>
  <dc:creator>Admin</dc:creator>
  <dc:description/>
  <dc:language>ru-RU</dc:language>
  <cp:lastModifiedBy/>
  <cp:lastPrinted>2024-03-01T15:24:54Z</cp:lastPrinted>
  <dcterms:modified xsi:type="dcterms:W3CDTF">2024-03-01T18:10:05Z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